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D07" w:rsidRDefault="00FB0D07" w:rsidP="00FB0D07">
      <w:pPr>
        <w:jc w:val="center"/>
        <w:rPr>
          <w:rFonts w:asciiTheme="majorHAnsi" w:hAnsiTheme="majorHAnsi"/>
          <w:b/>
          <w:sz w:val="32"/>
          <w:szCs w:val="32"/>
        </w:rPr>
      </w:pPr>
      <w:r w:rsidRPr="00D02F79">
        <w:rPr>
          <w:rFonts w:asciiTheme="majorHAnsi" w:hAnsiTheme="majorHAnsi"/>
          <w:b/>
          <w:sz w:val="32"/>
          <w:szCs w:val="32"/>
        </w:rPr>
        <w:t xml:space="preserve">Fifth Grade Module </w:t>
      </w:r>
      <w:r>
        <w:rPr>
          <w:rFonts w:asciiTheme="majorHAnsi" w:hAnsiTheme="majorHAnsi"/>
          <w:b/>
          <w:sz w:val="32"/>
          <w:szCs w:val="32"/>
        </w:rPr>
        <w:t>2</w:t>
      </w:r>
      <w:r w:rsidRPr="00D02F79">
        <w:rPr>
          <w:rFonts w:asciiTheme="majorHAnsi" w:hAnsiTheme="majorHAnsi"/>
          <w:b/>
          <w:sz w:val="32"/>
          <w:szCs w:val="32"/>
        </w:rPr>
        <w:t xml:space="preserve">: </w:t>
      </w:r>
      <w:r>
        <w:rPr>
          <w:rFonts w:asciiTheme="majorHAnsi" w:hAnsiTheme="majorHAnsi"/>
          <w:b/>
          <w:sz w:val="32"/>
          <w:szCs w:val="32"/>
        </w:rPr>
        <w:t>End-of</w:t>
      </w:r>
      <w:r w:rsidRPr="00D02F79">
        <w:rPr>
          <w:rFonts w:asciiTheme="majorHAnsi" w:hAnsiTheme="majorHAnsi"/>
          <w:b/>
          <w:sz w:val="32"/>
          <w:szCs w:val="32"/>
        </w:rPr>
        <w:t>-Module Assessment Task Score Sheet</w:t>
      </w:r>
    </w:p>
    <w:p w:rsidR="00FB0D07" w:rsidRPr="00E667E3" w:rsidRDefault="00FB0D07" w:rsidP="00FB0D07">
      <w:pPr>
        <w:jc w:val="center"/>
        <w:rPr>
          <w:rFonts w:asciiTheme="majorHAnsi" w:hAnsiTheme="majorHAnsi"/>
          <w:b/>
        </w:rPr>
      </w:pPr>
    </w:p>
    <w:p w:rsidR="00FB0D07" w:rsidRDefault="00FB0D07" w:rsidP="00FB0D07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:rsidR="00FB0D07" w:rsidRPr="00D87430" w:rsidRDefault="00FB0D07" w:rsidP="00FB0D07">
      <w:pPr>
        <w:pStyle w:val="ny-h4"/>
        <w:spacing w:before="0" w:after="0" w:line="240" w:lineRule="auto"/>
        <w:rPr>
          <w:sz w:val="10"/>
          <w:szCs w:val="10"/>
        </w:rPr>
      </w:pPr>
    </w:p>
    <w:p w:rsidR="00FB0D07" w:rsidRPr="00690FC9" w:rsidRDefault="00FB0D07" w:rsidP="00FB0D07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:rsidR="00FB0D07" w:rsidRPr="004C0488" w:rsidRDefault="00FB0D07" w:rsidP="00FB0D07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FB0D07" w:rsidRPr="004C0488" w:rsidTr="00D76085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:rsidR="00FB0D07" w:rsidRPr="00DC3522" w:rsidRDefault="00FB0D07" w:rsidP="00D76085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FB0D07" w:rsidRPr="001F4675" w:rsidTr="00D76085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:rsidR="00FB0D07" w:rsidRPr="001F4675" w:rsidRDefault="00FB0D07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:rsidR="00FB0D07" w:rsidRPr="001F4675" w:rsidRDefault="00FB0D07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FB0D07" w:rsidRPr="001F4675" w:rsidRDefault="00FB0D07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FB0D07" w:rsidRPr="001F4675" w:rsidRDefault="00FB0D07" w:rsidP="00D7608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B0D07" w:rsidRPr="001F4675" w:rsidRDefault="00FB0D07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.</w:t>
            </w:r>
          </w:p>
          <w:p w:rsidR="00FB0D07" w:rsidRPr="001F4675" w:rsidRDefault="00FB0D07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FB0D07" w:rsidRPr="001F4675" w:rsidRDefault="00FB0D07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FB0D07" w:rsidRPr="001F4675" w:rsidRDefault="00FB0D07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FB0D07" w:rsidRPr="001F4675" w:rsidRDefault="00FB0D07" w:rsidP="00D7608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B0D07" w:rsidRPr="001F4675" w:rsidRDefault="00FB0D07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:rsidR="00FB0D07" w:rsidRPr="001F4675" w:rsidRDefault="00FB0D07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FB0D07" w:rsidRPr="001F4675" w:rsidRDefault="00FB0D07" w:rsidP="00D7608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B0D07" w:rsidRPr="001F4675" w:rsidRDefault="00FB0D07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:rsidR="00FB0D07" w:rsidRPr="001F4675" w:rsidRDefault="00FB0D07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FB0D07" w:rsidRPr="001F4675" w:rsidRDefault="00FB0D07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FB0D07" w:rsidRPr="001F4675" w:rsidRDefault="00FB0D07" w:rsidP="00D7608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FB0D07" w:rsidRPr="001F4675" w:rsidRDefault="00FB0D07" w:rsidP="00D7608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:rsidR="00FB0D07" w:rsidRPr="00690FC9" w:rsidRDefault="00FB0D07" w:rsidP="00FB0D07">
      <w:pPr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0" w:type="auto"/>
        <w:jc w:val="center"/>
        <w:tblInd w:w="-642" w:type="dxa"/>
        <w:tblLayout w:type="fixed"/>
        <w:tblLook w:val="04A0" w:firstRow="1" w:lastRow="0" w:firstColumn="1" w:lastColumn="0" w:noHBand="0" w:noVBand="1"/>
      </w:tblPr>
      <w:tblGrid>
        <w:gridCol w:w="1119"/>
        <w:gridCol w:w="1215"/>
        <w:gridCol w:w="655"/>
        <w:gridCol w:w="560"/>
        <w:gridCol w:w="1215"/>
        <w:gridCol w:w="1215"/>
        <w:gridCol w:w="499"/>
        <w:gridCol w:w="7"/>
        <w:gridCol w:w="15"/>
        <w:gridCol w:w="478"/>
        <w:gridCol w:w="19"/>
        <w:gridCol w:w="481"/>
        <w:gridCol w:w="31"/>
        <w:gridCol w:w="469"/>
        <w:gridCol w:w="43"/>
        <w:gridCol w:w="457"/>
        <w:gridCol w:w="64"/>
        <w:gridCol w:w="436"/>
        <w:gridCol w:w="500"/>
        <w:gridCol w:w="500"/>
      </w:tblGrid>
      <w:tr w:rsidR="00FB0D07" w:rsidRPr="00D30DD0" w:rsidTr="00FB0D07">
        <w:trPr>
          <w:cantSplit/>
          <w:trHeight w:val="359"/>
          <w:jc w:val="center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B0D07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859" w:type="dxa"/>
            <w:gridSpan w:val="19"/>
            <w:shd w:val="clear" w:color="auto" w:fill="CCCCCC"/>
            <w:vAlign w:val="center"/>
          </w:tcPr>
          <w:p w:rsidR="00FB0D07" w:rsidRPr="00815001" w:rsidRDefault="00FB0D07" w:rsidP="00D76085">
            <w:pPr>
              <w:jc w:val="center"/>
              <w:rPr>
                <w:rFonts w:asciiTheme="majorHAnsi" w:hAnsiTheme="majorHAnsi"/>
                <w:b/>
              </w:rPr>
            </w:pPr>
            <w:r w:rsidRPr="00815001">
              <w:rPr>
                <w:rFonts w:asciiTheme="majorHAnsi" w:hAnsiTheme="majorHAnsi"/>
                <w:b/>
              </w:rPr>
              <w:t>Module 2: End-of Module Assessment</w:t>
            </w:r>
          </w:p>
        </w:tc>
      </w:tr>
      <w:tr w:rsidR="00FB0D07" w:rsidRPr="00D30DD0" w:rsidTr="00FB0D07">
        <w:trPr>
          <w:cantSplit/>
          <w:trHeight w:val="359"/>
          <w:jc w:val="center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FB0D07" w:rsidRPr="00D30DD0" w:rsidRDefault="00FB0D07" w:rsidP="00D76085">
            <w:pPr>
              <w:jc w:val="center"/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4860" w:type="dxa"/>
            <w:gridSpan w:val="5"/>
            <w:shd w:val="clear" w:color="auto" w:fill="CCCCCC"/>
            <w:vAlign w:val="center"/>
          </w:tcPr>
          <w:p w:rsidR="00FB0D07" w:rsidRPr="00D30DD0" w:rsidRDefault="00FB0D07" w:rsidP="00D76085">
            <w:pPr>
              <w:jc w:val="center"/>
              <w:rPr>
                <w:rFonts w:asciiTheme="majorHAnsi" w:hAnsiTheme="majorHAnsi"/>
                <w:b/>
                <w:highlight w:val="yellow"/>
              </w:rPr>
            </w:pPr>
            <w:r w:rsidRPr="00815001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3999" w:type="dxa"/>
            <w:gridSpan w:val="14"/>
            <w:shd w:val="clear" w:color="auto" w:fill="CCCCCC"/>
            <w:vAlign w:val="center"/>
          </w:tcPr>
          <w:p w:rsidR="00FB0D07" w:rsidRPr="00815001" w:rsidRDefault="00FB0D07" w:rsidP="00D76085">
            <w:pPr>
              <w:jc w:val="center"/>
              <w:rPr>
                <w:rFonts w:asciiTheme="majorHAnsi" w:hAnsiTheme="majorHAnsi"/>
                <w:b/>
              </w:rPr>
            </w:pPr>
            <w:r w:rsidRPr="00815001">
              <w:rPr>
                <w:rFonts w:asciiTheme="majorHAnsi" w:hAnsiTheme="majorHAnsi"/>
                <w:b/>
              </w:rPr>
              <w:t>Standards</w:t>
            </w:r>
          </w:p>
        </w:tc>
      </w:tr>
      <w:tr w:rsidR="00FB0D07" w:rsidRPr="00D30DD0" w:rsidTr="00FB0D07">
        <w:trPr>
          <w:cantSplit/>
          <w:trHeight w:val="863"/>
          <w:jc w:val="center"/>
        </w:trPr>
        <w:tc>
          <w:tcPr>
            <w:tcW w:w="1119" w:type="dxa"/>
            <w:shd w:val="clear" w:color="auto" w:fill="E6E6E6"/>
            <w:vAlign w:val="center"/>
          </w:tcPr>
          <w:p w:rsidR="00FB0D07" w:rsidRPr="00815001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815001">
              <w:rPr>
                <w:rFonts w:asciiTheme="majorHAnsi" w:hAnsiTheme="majorHAnsi"/>
              </w:rPr>
              <w:t>Question</w:t>
            </w:r>
          </w:p>
        </w:tc>
        <w:tc>
          <w:tcPr>
            <w:tcW w:w="2430" w:type="dxa"/>
            <w:gridSpan w:val="3"/>
            <w:shd w:val="clear" w:color="auto" w:fill="E6E6E6"/>
            <w:vAlign w:val="center"/>
          </w:tcPr>
          <w:p w:rsidR="00FB0D07" w:rsidRPr="00815001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815001">
              <w:rPr>
                <w:rFonts w:asciiTheme="majorHAnsi" w:hAnsiTheme="majorHAnsi"/>
              </w:rPr>
              <w:t>Number and Operations in Base-Ten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B0D07" w:rsidRPr="00815001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815001"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499" w:type="dxa"/>
            <w:shd w:val="clear" w:color="auto" w:fill="E6E6E6"/>
            <w:textDirection w:val="btLr"/>
          </w:tcPr>
          <w:p w:rsidR="00FB0D07" w:rsidRPr="006A31AF" w:rsidRDefault="00FB0D07" w:rsidP="00D7608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6A31AF">
              <w:rPr>
                <w:rFonts w:asciiTheme="majorHAnsi" w:hAnsiTheme="majorHAnsi"/>
                <w:sz w:val="16"/>
                <w:szCs w:val="16"/>
              </w:rPr>
              <w:t>5.NBT.1</w:t>
            </w:r>
          </w:p>
        </w:tc>
        <w:tc>
          <w:tcPr>
            <w:tcW w:w="500" w:type="dxa"/>
            <w:gridSpan w:val="3"/>
            <w:shd w:val="clear" w:color="auto" w:fill="E6E6E6"/>
            <w:textDirection w:val="btLr"/>
          </w:tcPr>
          <w:p w:rsidR="00FB0D07" w:rsidRPr="006A31AF" w:rsidRDefault="00FB0D07" w:rsidP="00D7608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6A31AF">
              <w:rPr>
                <w:rFonts w:asciiTheme="majorHAnsi" w:hAnsiTheme="majorHAnsi"/>
                <w:sz w:val="16"/>
                <w:szCs w:val="16"/>
              </w:rPr>
              <w:t>5.NBT.2</w:t>
            </w:r>
          </w:p>
        </w:tc>
        <w:tc>
          <w:tcPr>
            <w:tcW w:w="500" w:type="dxa"/>
            <w:gridSpan w:val="2"/>
            <w:shd w:val="clear" w:color="auto" w:fill="E6E6E6"/>
            <w:textDirection w:val="btLr"/>
          </w:tcPr>
          <w:p w:rsidR="00FB0D07" w:rsidRPr="006A31AF" w:rsidRDefault="00FB0D07" w:rsidP="00D7608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6A31AF">
              <w:rPr>
                <w:rFonts w:asciiTheme="majorHAnsi" w:hAnsiTheme="majorHAnsi"/>
                <w:sz w:val="16"/>
                <w:szCs w:val="16"/>
              </w:rPr>
              <w:t>5.NBT.5</w:t>
            </w:r>
          </w:p>
        </w:tc>
        <w:tc>
          <w:tcPr>
            <w:tcW w:w="500" w:type="dxa"/>
            <w:gridSpan w:val="2"/>
            <w:shd w:val="clear" w:color="auto" w:fill="E6E6E6"/>
            <w:textDirection w:val="btLr"/>
          </w:tcPr>
          <w:p w:rsidR="00FB0D07" w:rsidRPr="006A31AF" w:rsidRDefault="00FB0D07" w:rsidP="00D7608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6A31AF">
              <w:rPr>
                <w:rFonts w:asciiTheme="majorHAnsi" w:hAnsiTheme="majorHAnsi"/>
                <w:sz w:val="16"/>
                <w:szCs w:val="16"/>
              </w:rPr>
              <w:t>5.NBT.6</w:t>
            </w:r>
          </w:p>
        </w:tc>
        <w:tc>
          <w:tcPr>
            <w:tcW w:w="500" w:type="dxa"/>
            <w:gridSpan w:val="2"/>
            <w:shd w:val="clear" w:color="auto" w:fill="E6E6E6"/>
            <w:textDirection w:val="btLr"/>
          </w:tcPr>
          <w:p w:rsidR="00FB0D07" w:rsidRPr="006A31AF" w:rsidRDefault="00FB0D07" w:rsidP="00D7608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6A31AF">
              <w:rPr>
                <w:rFonts w:asciiTheme="majorHAnsi" w:hAnsiTheme="majorHAnsi"/>
                <w:sz w:val="16"/>
                <w:szCs w:val="16"/>
              </w:rPr>
              <w:t>5.NBT.7</w:t>
            </w:r>
          </w:p>
        </w:tc>
        <w:tc>
          <w:tcPr>
            <w:tcW w:w="500" w:type="dxa"/>
            <w:gridSpan w:val="2"/>
            <w:shd w:val="clear" w:color="auto" w:fill="E6E6E6"/>
            <w:textDirection w:val="btLr"/>
          </w:tcPr>
          <w:p w:rsidR="00FB0D07" w:rsidRPr="006A31AF" w:rsidRDefault="00FB0D07" w:rsidP="00D7608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6A31AF">
              <w:rPr>
                <w:rFonts w:asciiTheme="majorHAnsi" w:hAnsiTheme="majorHAnsi"/>
                <w:sz w:val="16"/>
                <w:szCs w:val="16"/>
              </w:rPr>
              <w:t>5.OA.1</w:t>
            </w:r>
          </w:p>
        </w:tc>
        <w:tc>
          <w:tcPr>
            <w:tcW w:w="500" w:type="dxa"/>
            <w:shd w:val="clear" w:color="auto" w:fill="E6E6E6"/>
            <w:textDirection w:val="btLr"/>
          </w:tcPr>
          <w:p w:rsidR="00FB0D07" w:rsidRPr="006A31AF" w:rsidRDefault="00FB0D07" w:rsidP="00D7608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6A31AF">
              <w:rPr>
                <w:rFonts w:asciiTheme="majorHAnsi" w:hAnsiTheme="majorHAnsi"/>
                <w:sz w:val="16"/>
                <w:szCs w:val="16"/>
              </w:rPr>
              <w:t>5.OA.2</w:t>
            </w:r>
          </w:p>
        </w:tc>
        <w:tc>
          <w:tcPr>
            <w:tcW w:w="500" w:type="dxa"/>
            <w:shd w:val="clear" w:color="auto" w:fill="E6E6E6"/>
            <w:textDirection w:val="btLr"/>
          </w:tcPr>
          <w:p w:rsidR="00FB0D07" w:rsidRPr="006A31AF" w:rsidRDefault="00FB0D07" w:rsidP="00D7608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6A31AF">
              <w:rPr>
                <w:rFonts w:asciiTheme="majorHAnsi" w:hAnsiTheme="majorHAnsi"/>
                <w:sz w:val="16"/>
                <w:szCs w:val="16"/>
              </w:rPr>
              <w:t>5.MD.1</w:t>
            </w:r>
          </w:p>
        </w:tc>
      </w:tr>
      <w:tr w:rsidR="00FB0D07" w:rsidRPr="00D30DD0" w:rsidTr="00FB0D07">
        <w:trPr>
          <w:trHeight w:val="416"/>
          <w:jc w:val="center"/>
        </w:trPr>
        <w:tc>
          <w:tcPr>
            <w:tcW w:w="1119" w:type="dxa"/>
            <w:vAlign w:val="center"/>
          </w:tcPr>
          <w:p w:rsidR="00FB0D07" w:rsidRPr="00815001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815001">
              <w:rPr>
                <w:rFonts w:asciiTheme="majorHAnsi" w:hAnsiTheme="majorHAnsi"/>
              </w:rPr>
              <w:t>1</w:t>
            </w:r>
          </w:p>
        </w:tc>
        <w:tc>
          <w:tcPr>
            <w:tcW w:w="2430" w:type="dxa"/>
            <w:gridSpan w:val="3"/>
            <w:vAlign w:val="center"/>
          </w:tcPr>
          <w:p w:rsidR="00FB0D07" w:rsidRPr="00D30DD0" w:rsidRDefault="00FB0D07" w:rsidP="00D76085">
            <w:pPr>
              <w:jc w:val="center"/>
              <w:rPr>
                <w:rFonts w:asciiTheme="majorHAnsi" w:hAnsiTheme="majorHAnsi"/>
                <w:highlight w:val="yellow"/>
              </w:rPr>
            </w:pPr>
            <w:r w:rsidRPr="00E70927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B0D07" w:rsidRPr="00D30DD0" w:rsidRDefault="00FB0D07" w:rsidP="00D76085">
            <w:pPr>
              <w:jc w:val="center"/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499" w:type="dxa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6A31AF">
              <w:rPr>
                <w:rFonts w:asciiTheme="majorHAnsi" w:hAnsiTheme="majorHAnsi"/>
              </w:rPr>
              <w:t>X</w:t>
            </w:r>
          </w:p>
        </w:tc>
        <w:tc>
          <w:tcPr>
            <w:tcW w:w="500" w:type="dxa"/>
            <w:gridSpan w:val="3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6A31AF">
              <w:rPr>
                <w:rFonts w:asciiTheme="majorHAnsi" w:hAnsiTheme="majorHAnsi"/>
              </w:rPr>
              <w:t>X</w:t>
            </w: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6A31AF">
              <w:rPr>
                <w:rFonts w:asciiTheme="majorHAnsi" w:hAnsiTheme="majorHAnsi"/>
              </w:rPr>
              <w:t>X</w:t>
            </w: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</w:tr>
      <w:tr w:rsidR="00FB0D07" w:rsidRPr="00D30DD0" w:rsidTr="00FB0D07">
        <w:trPr>
          <w:trHeight w:val="416"/>
          <w:jc w:val="center"/>
        </w:trPr>
        <w:tc>
          <w:tcPr>
            <w:tcW w:w="1119" w:type="dxa"/>
            <w:vAlign w:val="center"/>
          </w:tcPr>
          <w:p w:rsidR="00FB0D07" w:rsidRPr="00815001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815001">
              <w:rPr>
                <w:rFonts w:asciiTheme="majorHAnsi" w:hAnsiTheme="majorHAnsi"/>
              </w:rPr>
              <w:t>2</w:t>
            </w:r>
          </w:p>
        </w:tc>
        <w:tc>
          <w:tcPr>
            <w:tcW w:w="2430" w:type="dxa"/>
            <w:gridSpan w:val="3"/>
            <w:vAlign w:val="center"/>
          </w:tcPr>
          <w:p w:rsidR="00FB0D07" w:rsidRPr="00D30DD0" w:rsidRDefault="00FB0D07" w:rsidP="00D76085">
            <w:pPr>
              <w:jc w:val="center"/>
              <w:rPr>
                <w:rFonts w:asciiTheme="majorHAnsi" w:hAnsiTheme="majorHAnsi"/>
                <w:highlight w:val="yellow"/>
              </w:rPr>
            </w:pPr>
            <w:r w:rsidRPr="00E70927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B0D07" w:rsidRPr="00D30DD0" w:rsidRDefault="00FB0D07" w:rsidP="00D76085">
            <w:pPr>
              <w:jc w:val="center"/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499" w:type="dxa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6A31AF">
              <w:rPr>
                <w:rFonts w:asciiTheme="majorHAnsi" w:hAnsiTheme="majorHAnsi"/>
              </w:rPr>
              <w:t>X</w:t>
            </w:r>
          </w:p>
        </w:tc>
        <w:tc>
          <w:tcPr>
            <w:tcW w:w="500" w:type="dxa"/>
            <w:gridSpan w:val="3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6A31AF">
              <w:rPr>
                <w:rFonts w:asciiTheme="majorHAnsi" w:hAnsiTheme="majorHAnsi"/>
              </w:rPr>
              <w:t>X</w:t>
            </w: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6A31AF">
              <w:rPr>
                <w:rFonts w:asciiTheme="majorHAnsi" w:hAnsiTheme="majorHAnsi"/>
              </w:rPr>
              <w:t>X</w:t>
            </w: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</w:tr>
      <w:tr w:rsidR="00FB0D07" w:rsidRPr="00D30DD0" w:rsidTr="00FB0D07">
        <w:trPr>
          <w:trHeight w:val="416"/>
          <w:jc w:val="center"/>
        </w:trPr>
        <w:tc>
          <w:tcPr>
            <w:tcW w:w="1119" w:type="dxa"/>
            <w:vAlign w:val="center"/>
          </w:tcPr>
          <w:p w:rsidR="00FB0D07" w:rsidRPr="00815001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815001">
              <w:rPr>
                <w:rFonts w:asciiTheme="majorHAnsi" w:hAnsiTheme="majorHAnsi"/>
              </w:rPr>
              <w:t>3</w:t>
            </w:r>
          </w:p>
        </w:tc>
        <w:tc>
          <w:tcPr>
            <w:tcW w:w="2430" w:type="dxa"/>
            <w:gridSpan w:val="3"/>
            <w:vAlign w:val="center"/>
          </w:tcPr>
          <w:p w:rsidR="00FB0D07" w:rsidRPr="00D30DD0" w:rsidRDefault="00FB0D07" w:rsidP="00D76085">
            <w:pPr>
              <w:jc w:val="center"/>
              <w:rPr>
                <w:rFonts w:asciiTheme="majorHAnsi" w:hAnsiTheme="majorHAnsi"/>
                <w:highlight w:val="yellow"/>
              </w:rPr>
            </w:pPr>
            <w:r w:rsidRPr="00E70927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0D07" w:rsidRPr="00D30DD0" w:rsidRDefault="00FB0D07" w:rsidP="00D76085">
            <w:pPr>
              <w:jc w:val="center"/>
              <w:rPr>
                <w:rFonts w:asciiTheme="majorHAnsi" w:hAnsiTheme="majorHAnsi"/>
                <w:highlight w:val="yellow"/>
              </w:rPr>
            </w:pPr>
            <w:r w:rsidRPr="00E70927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99" w:type="dxa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3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6A31AF">
              <w:rPr>
                <w:rFonts w:asciiTheme="majorHAnsi" w:hAnsiTheme="majorHAnsi"/>
              </w:rPr>
              <w:t>X</w:t>
            </w: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6A31AF">
              <w:rPr>
                <w:rFonts w:asciiTheme="majorHAnsi" w:hAnsiTheme="majorHAnsi"/>
              </w:rPr>
              <w:t>X</w:t>
            </w:r>
          </w:p>
        </w:tc>
        <w:tc>
          <w:tcPr>
            <w:tcW w:w="500" w:type="dxa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</w:tr>
      <w:tr w:rsidR="00FB0D07" w:rsidRPr="00D30DD0" w:rsidTr="00FB0D07">
        <w:trPr>
          <w:trHeight w:val="416"/>
          <w:jc w:val="center"/>
        </w:trPr>
        <w:tc>
          <w:tcPr>
            <w:tcW w:w="1119" w:type="dxa"/>
            <w:vAlign w:val="center"/>
          </w:tcPr>
          <w:p w:rsidR="00FB0D07" w:rsidRPr="00815001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815001">
              <w:rPr>
                <w:rFonts w:asciiTheme="majorHAnsi" w:hAnsiTheme="majorHAnsi"/>
              </w:rPr>
              <w:t>4</w:t>
            </w: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vAlign w:val="center"/>
          </w:tcPr>
          <w:p w:rsidR="00FB0D07" w:rsidRPr="00D30DD0" w:rsidRDefault="00FB0D07" w:rsidP="00D76085">
            <w:pPr>
              <w:jc w:val="center"/>
              <w:rPr>
                <w:rFonts w:asciiTheme="majorHAnsi" w:hAnsiTheme="majorHAnsi"/>
                <w:highlight w:val="yellow"/>
              </w:rPr>
            </w:pPr>
            <w:r w:rsidRPr="00E70927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B0D07" w:rsidRPr="00D30DD0" w:rsidRDefault="00FB0D07" w:rsidP="00D76085">
            <w:pPr>
              <w:jc w:val="center"/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499" w:type="dxa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3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6A31AF">
              <w:rPr>
                <w:rFonts w:asciiTheme="majorHAnsi" w:hAnsiTheme="majorHAnsi"/>
              </w:rPr>
              <w:t>X</w:t>
            </w: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</w:tr>
      <w:tr w:rsidR="00FB0D07" w:rsidRPr="00D30DD0" w:rsidTr="00FB0D07">
        <w:trPr>
          <w:trHeight w:val="416"/>
          <w:jc w:val="center"/>
        </w:trPr>
        <w:tc>
          <w:tcPr>
            <w:tcW w:w="1119" w:type="dxa"/>
            <w:vAlign w:val="center"/>
          </w:tcPr>
          <w:p w:rsidR="00FB0D07" w:rsidRPr="00815001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815001">
              <w:rPr>
                <w:rFonts w:asciiTheme="majorHAnsi" w:hAnsiTheme="majorHAnsi"/>
              </w:rPr>
              <w:t>5</w:t>
            </w: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0D07" w:rsidRPr="00D30DD0" w:rsidRDefault="00FB0D07" w:rsidP="00D76085">
            <w:pPr>
              <w:jc w:val="center"/>
              <w:rPr>
                <w:rFonts w:asciiTheme="majorHAnsi" w:hAnsiTheme="majorHAnsi"/>
                <w:highlight w:val="yellow"/>
              </w:rPr>
            </w:pPr>
            <w:r w:rsidRPr="00E70927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B0D07" w:rsidRPr="00D30DD0" w:rsidRDefault="00FB0D07" w:rsidP="00D76085">
            <w:pPr>
              <w:jc w:val="center"/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499" w:type="dxa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3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</w:tr>
      <w:tr w:rsidR="00FB0D07" w:rsidRPr="00D30DD0" w:rsidTr="00FB0D07">
        <w:trPr>
          <w:trHeight w:val="416"/>
          <w:jc w:val="center"/>
        </w:trPr>
        <w:tc>
          <w:tcPr>
            <w:tcW w:w="1119" w:type="dxa"/>
            <w:vAlign w:val="center"/>
          </w:tcPr>
          <w:p w:rsidR="00FB0D07" w:rsidRPr="00815001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815001">
              <w:rPr>
                <w:rFonts w:asciiTheme="majorHAnsi" w:hAnsiTheme="majorHAnsi"/>
              </w:rPr>
              <w:t>6</w:t>
            </w:r>
            <w:r>
              <w:rPr>
                <w:rFonts w:asciiTheme="majorHAnsi" w:hAnsiTheme="majorHAnsi"/>
              </w:rPr>
              <w:t xml:space="preserve"> a, b, c, e</w:t>
            </w: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0D07" w:rsidRPr="00D30DD0" w:rsidRDefault="00FB0D07" w:rsidP="00D76085">
            <w:pPr>
              <w:jc w:val="center"/>
              <w:rPr>
                <w:rFonts w:asciiTheme="majorHAnsi" w:hAnsiTheme="majorHAnsi"/>
                <w:highlight w:val="yellow"/>
              </w:rPr>
            </w:pPr>
            <w:r w:rsidRPr="00E70927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430" w:type="dxa"/>
            <w:gridSpan w:val="2"/>
            <w:shd w:val="clear" w:color="auto" w:fill="E6E6E6"/>
            <w:vAlign w:val="center"/>
          </w:tcPr>
          <w:p w:rsidR="00FB0D07" w:rsidRPr="00D30DD0" w:rsidRDefault="00FB0D07" w:rsidP="00D76085">
            <w:pPr>
              <w:jc w:val="center"/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499" w:type="dxa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00" w:type="dxa"/>
            <w:gridSpan w:val="3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00" w:type="dxa"/>
            <w:gridSpan w:val="2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FB0D07" w:rsidRPr="00D30DD0" w:rsidTr="00FB0D07">
        <w:trPr>
          <w:trHeight w:val="416"/>
          <w:jc w:val="center"/>
        </w:trPr>
        <w:tc>
          <w:tcPr>
            <w:tcW w:w="1119" w:type="dxa"/>
            <w:vAlign w:val="center"/>
          </w:tcPr>
          <w:p w:rsidR="00FB0D07" w:rsidRPr="00815001" w:rsidRDefault="00FB0D07" w:rsidP="00D7608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 d</w:t>
            </w:r>
          </w:p>
        </w:tc>
        <w:tc>
          <w:tcPr>
            <w:tcW w:w="2430" w:type="dxa"/>
            <w:gridSpan w:val="3"/>
            <w:shd w:val="clear" w:color="auto" w:fill="E6E6E6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center"/>
          </w:tcPr>
          <w:p w:rsidR="00FB0D07" w:rsidRPr="00D30DD0" w:rsidRDefault="00FB0D07" w:rsidP="00D76085">
            <w:pPr>
              <w:jc w:val="center"/>
              <w:rPr>
                <w:rFonts w:asciiTheme="majorHAnsi" w:hAnsiTheme="majorHAnsi"/>
                <w:highlight w:val="yellow"/>
              </w:rPr>
            </w:pPr>
            <w:r w:rsidRPr="00E70927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99" w:type="dxa"/>
            <w:vAlign w:val="center"/>
          </w:tcPr>
          <w:p w:rsidR="00FB0D07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3"/>
            <w:vAlign w:val="center"/>
          </w:tcPr>
          <w:p w:rsidR="00FB0D07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:rsidR="00FB0D07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:rsidR="00FB0D07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:rsidR="00FB0D07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" w:type="dxa"/>
            <w:gridSpan w:val="2"/>
            <w:vAlign w:val="center"/>
          </w:tcPr>
          <w:p w:rsidR="00FB0D07" w:rsidRDefault="00FB0D07" w:rsidP="00D7608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00" w:type="dxa"/>
            <w:vAlign w:val="center"/>
          </w:tcPr>
          <w:p w:rsidR="00FB0D07" w:rsidRDefault="00FB0D07" w:rsidP="00D7608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00" w:type="dxa"/>
            <w:vAlign w:val="center"/>
          </w:tcPr>
          <w:p w:rsidR="00FB0D07" w:rsidRDefault="00FB0D07" w:rsidP="00D76085">
            <w:pPr>
              <w:jc w:val="center"/>
              <w:rPr>
                <w:rFonts w:asciiTheme="majorHAnsi" w:hAnsiTheme="majorHAnsi"/>
              </w:rPr>
            </w:pPr>
          </w:p>
        </w:tc>
      </w:tr>
      <w:tr w:rsidR="00FB0D07" w:rsidRPr="00D30DD0" w:rsidTr="00FB0D07">
        <w:trPr>
          <w:trHeight w:val="323"/>
          <w:jc w:val="center"/>
        </w:trPr>
        <w:tc>
          <w:tcPr>
            <w:tcW w:w="298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B0D07" w:rsidRPr="00D30DD0" w:rsidRDefault="00FB0D07" w:rsidP="00D76085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2990" w:type="dxa"/>
            <w:gridSpan w:val="3"/>
            <w:tcBorders>
              <w:left w:val="nil"/>
              <w:bottom w:val="nil"/>
              <w:right w:val="nil"/>
            </w:tcBorders>
          </w:tcPr>
          <w:p w:rsidR="00FB0D07" w:rsidRPr="00D30DD0" w:rsidRDefault="00FB0D07" w:rsidP="00D76085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506" w:type="dxa"/>
            <w:gridSpan w:val="2"/>
            <w:tcBorders>
              <w:left w:val="nil"/>
              <w:bottom w:val="nil"/>
              <w:right w:val="nil"/>
            </w:tcBorders>
          </w:tcPr>
          <w:p w:rsidR="00FB0D07" w:rsidRPr="00D30DD0" w:rsidRDefault="00FB0D07" w:rsidP="00D76085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512" w:type="dxa"/>
            <w:gridSpan w:val="3"/>
            <w:tcBorders>
              <w:left w:val="nil"/>
              <w:bottom w:val="nil"/>
              <w:right w:val="nil"/>
            </w:tcBorders>
          </w:tcPr>
          <w:p w:rsidR="00FB0D07" w:rsidRPr="00D30DD0" w:rsidRDefault="00FB0D07" w:rsidP="00D76085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512" w:type="dxa"/>
            <w:gridSpan w:val="2"/>
            <w:tcBorders>
              <w:left w:val="nil"/>
              <w:bottom w:val="nil"/>
              <w:right w:val="nil"/>
            </w:tcBorders>
          </w:tcPr>
          <w:p w:rsidR="00FB0D07" w:rsidRPr="00D30DD0" w:rsidRDefault="00FB0D07" w:rsidP="00D76085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512" w:type="dxa"/>
            <w:gridSpan w:val="2"/>
            <w:tcBorders>
              <w:left w:val="nil"/>
              <w:bottom w:val="nil"/>
              <w:right w:val="nil"/>
            </w:tcBorders>
          </w:tcPr>
          <w:p w:rsidR="00FB0D07" w:rsidRPr="00D30DD0" w:rsidRDefault="00FB0D07" w:rsidP="00D76085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521" w:type="dxa"/>
            <w:gridSpan w:val="2"/>
            <w:tcBorders>
              <w:left w:val="nil"/>
              <w:bottom w:val="nil"/>
              <w:right w:val="nil"/>
            </w:tcBorders>
          </w:tcPr>
          <w:p w:rsidR="00FB0D07" w:rsidRPr="00D30DD0" w:rsidRDefault="00FB0D07" w:rsidP="00D76085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14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0D07" w:rsidRPr="00D30DD0" w:rsidRDefault="00FB0D07" w:rsidP="00D76085">
            <w:pPr>
              <w:rPr>
                <w:rFonts w:asciiTheme="majorHAnsi" w:hAnsiTheme="majorHAnsi"/>
                <w:highlight w:val="yellow"/>
              </w:rPr>
            </w:pPr>
          </w:p>
        </w:tc>
      </w:tr>
      <w:tr w:rsidR="00FB0D07" w:rsidRPr="00D30DD0" w:rsidTr="00FB0D07">
        <w:trPr>
          <w:jc w:val="center"/>
        </w:trPr>
        <w:tc>
          <w:tcPr>
            <w:tcW w:w="1119" w:type="dxa"/>
            <w:shd w:val="clear" w:color="auto" w:fill="E6E6E6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6A31AF">
              <w:rPr>
                <w:rFonts w:asciiTheme="majorHAnsi" w:hAnsiTheme="majorHAnsi"/>
              </w:rPr>
              <w:t>Domain</w:t>
            </w:r>
          </w:p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6A31AF">
              <w:rPr>
                <w:rFonts w:asciiTheme="majorHAnsi" w:hAnsiTheme="majorHAnsi"/>
              </w:rPr>
              <w:t>Score</w:t>
            </w:r>
          </w:p>
        </w:tc>
        <w:tc>
          <w:tcPr>
            <w:tcW w:w="2430" w:type="dxa"/>
            <w:gridSpan w:val="3"/>
            <w:shd w:val="clear" w:color="auto" w:fill="E6E6E6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6A31AF">
              <w:rPr>
                <w:rFonts w:asciiTheme="majorHAnsi" w:hAnsiTheme="majorHAnsi"/>
              </w:rPr>
              <w:t>Number and Operations in Base-Ten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B0D07" w:rsidRPr="006A31AF" w:rsidRDefault="00FB0D07" w:rsidP="00D76085">
            <w:pPr>
              <w:jc w:val="center"/>
              <w:rPr>
                <w:rFonts w:asciiTheme="majorHAnsi" w:hAnsiTheme="majorHAnsi"/>
              </w:rPr>
            </w:pPr>
            <w:r w:rsidRPr="006A31AF"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52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0D07" w:rsidRPr="00D30DD0" w:rsidRDefault="00FB0D07" w:rsidP="00D76085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3478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0D07" w:rsidRPr="00D30DD0" w:rsidRDefault="00FB0D07" w:rsidP="00D76085">
            <w:pPr>
              <w:rPr>
                <w:rFonts w:asciiTheme="majorHAnsi" w:hAnsiTheme="majorHAnsi"/>
                <w:highlight w:val="yellow"/>
              </w:rPr>
            </w:pPr>
            <w:r w:rsidRPr="00D30DD0">
              <w:rPr>
                <w:rFonts w:asciiTheme="majorHAnsi" w:hAnsiTheme="majorHAnsi"/>
                <w:noProof/>
                <w:highlight w:val="yellow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C9A1A9" wp14:editId="614BC475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102235</wp:posOffset>
                      </wp:positionV>
                      <wp:extent cx="1814830" cy="1143000"/>
                      <wp:effectExtent l="0" t="0" r="0" b="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483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B0D07" w:rsidRDefault="00FB0D07" w:rsidP="00FB0D07">
                                  <w:r w:rsidRPr="00A27DC6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Note: For more information about standards assessed in this module, see back of this score sheet.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-.85pt;margin-top:8.05pt;width:142.9pt;height:9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" filled="f" stroked="f">
                      <v:textbox>
                        <w:txbxContent>
                          <w:p w:rsidR="00FB0D07" w:rsidRDefault="00FB0D07" w:rsidP="00FB0D07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FB0D07" w:rsidRPr="00D30DD0" w:rsidTr="00FB0D07">
        <w:trPr>
          <w:trHeight w:val="656"/>
          <w:jc w:val="center"/>
        </w:trPr>
        <w:tc>
          <w:tcPr>
            <w:tcW w:w="1119" w:type="dxa"/>
            <w:vAlign w:val="center"/>
          </w:tcPr>
          <w:p w:rsidR="00FB0D07" w:rsidRPr="000A04CE" w:rsidRDefault="00FB0D07" w:rsidP="00D7608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2430" w:type="dxa"/>
            <w:gridSpan w:val="3"/>
          </w:tcPr>
          <w:p w:rsidR="00FB0D07" w:rsidRPr="000A04CE" w:rsidRDefault="00FB0D07" w:rsidP="00D76085">
            <w:pPr>
              <w:rPr>
                <w:rFonts w:asciiTheme="majorHAnsi" w:hAnsiTheme="majorHAnsi"/>
              </w:rPr>
            </w:pPr>
          </w:p>
        </w:tc>
        <w:tc>
          <w:tcPr>
            <w:tcW w:w="243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B0D07" w:rsidRPr="000A04CE" w:rsidRDefault="00FB0D07" w:rsidP="00D76085">
            <w:pPr>
              <w:jc w:val="center"/>
              <w:rPr>
                <w:rFonts w:asciiTheme="majorHAnsi" w:hAnsiTheme="majorHAnsi"/>
              </w:rPr>
            </w:pPr>
            <w:bookmarkStart w:id="0" w:name="_GoBack"/>
            <w:bookmarkEnd w:id="0"/>
          </w:p>
        </w:tc>
        <w:tc>
          <w:tcPr>
            <w:tcW w:w="52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0D07" w:rsidRPr="00D30DD0" w:rsidRDefault="00FB0D07" w:rsidP="00D76085">
            <w:pPr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3478" w:type="dxa"/>
            <w:gridSpan w:val="11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FB0D07" w:rsidRPr="00D30DD0" w:rsidRDefault="00FB0D07" w:rsidP="00D76085">
            <w:pPr>
              <w:rPr>
                <w:rFonts w:asciiTheme="majorHAnsi" w:hAnsiTheme="majorHAnsi"/>
                <w:highlight w:val="yellow"/>
              </w:rPr>
            </w:pPr>
          </w:p>
        </w:tc>
      </w:tr>
      <w:tr w:rsidR="00FB0D07" w:rsidRPr="00D30DD0" w:rsidTr="00FB0D07">
        <w:trPr>
          <w:jc w:val="center"/>
        </w:trPr>
        <w:tc>
          <w:tcPr>
            <w:tcW w:w="1119" w:type="dxa"/>
            <w:vMerge w:val="restart"/>
            <w:vAlign w:val="center"/>
          </w:tcPr>
          <w:p w:rsidR="00FB0D07" w:rsidRPr="00CE781E" w:rsidRDefault="00FB0D07" w:rsidP="00D7608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Level</w:t>
            </w:r>
          </w:p>
        </w:tc>
        <w:tc>
          <w:tcPr>
            <w:tcW w:w="1215" w:type="dxa"/>
          </w:tcPr>
          <w:p w:rsidR="00FB0D07" w:rsidRPr="000A04CE" w:rsidRDefault="00FB0D07" w:rsidP="00D760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215" w:type="dxa"/>
            <w:gridSpan w:val="2"/>
          </w:tcPr>
          <w:p w:rsidR="00FB0D07" w:rsidRPr="000A04CE" w:rsidRDefault="00FB0D07" w:rsidP="00D7608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21-24 pts.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shd w:val="clear" w:color="auto" w:fill="auto"/>
          </w:tcPr>
          <w:p w:rsidR="00FB0D07" w:rsidRPr="000A04CE" w:rsidRDefault="00FB0D07" w:rsidP="00D760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shd w:val="clear" w:color="auto" w:fill="auto"/>
          </w:tcPr>
          <w:p w:rsidR="00FB0D07" w:rsidRPr="000A04CE" w:rsidRDefault="00FB0D07" w:rsidP="00D7608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7-8 pts.</w:t>
            </w:r>
          </w:p>
        </w:tc>
        <w:tc>
          <w:tcPr>
            <w:tcW w:w="52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0D07" w:rsidRPr="00D30DD0" w:rsidRDefault="00FB0D07" w:rsidP="00D76085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</w:p>
        </w:tc>
        <w:tc>
          <w:tcPr>
            <w:tcW w:w="3478" w:type="dxa"/>
            <w:gridSpan w:val="11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FB0D07" w:rsidRPr="00D30DD0" w:rsidRDefault="00FB0D07" w:rsidP="00D76085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</w:p>
        </w:tc>
      </w:tr>
      <w:tr w:rsidR="00FB0D07" w:rsidRPr="00D30DD0" w:rsidTr="00FB0D07">
        <w:trPr>
          <w:jc w:val="center"/>
        </w:trPr>
        <w:tc>
          <w:tcPr>
            <w:tcW w:w="1119" w:type="dxa"/>
            <w:vMerge/>
          </w:tcPr>
          <w:p w:rsidR="00FB0D07" w:rsidRPr="000A04CE" w:rsidRDefault="00FB0D07" w:rsidP="00D7608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B0D07" w:rsidRPr="000A04CE" w:rsidRDefault="00FB0D07" w:rsidP="00D760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215" w:type="dxa"/>
            <w:gridSpan w:val="2"/>
          </w:tcPr>
          <w:p w:rsidR="00FB0D07" w:rsidRPr="000A04CE" w:rsidRDefault="00FB0D07" w:rsidP="00D7608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15-20 pts.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shd w:val="clear" w:color="auto" w:fill="auto"/>
          </w:tcPr>
          <w:p w:rsidR="00FB0D07" w:rsidRPr="000A04CE" w:rsidRDefault="00FB0D07" w:rsidP="00D760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shd w:val="clear" w:color="auto" w:fill="auto"/>
          </w:tcPr>
          <w:p w:rsidR="00FB0D07" w:rsidRPr="000A04CE" w:rsidRDefault="00FB0D07" w:rsidP="00D7608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5-6 pts.</w:t>
            </w:r>
          </w:p>
        </w:tc>
        <w:tc>
          <w:tcPr>
            <w:tcW w:w="52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0D07" w:rsidRPr="00D30DD0" w:rsidRDefault="00FB0D07" w:rsidP="00D76085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</w:p>
        </w:tc>
        <w:tc>
          <w:tcPr>
            <w:tcW w:w="3478" w:type="dxa"/>
            <w:gridSpan w:val="11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FB0D07" w:rsidRPr="00D30DD0" w:rsidRDefault="00FB0D07" w:rsidP="00D76085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</w:p>
        </w:tc>
      </w:tr>
      <w:tr w:rsidR="00FB0D07" w:rsidRPr="00D30DD0" w:rsidTr="00FB0D07">
        <w:trPr>
          <w:jc w:val="center"/>
        </w:trPr>
        <w:tc>
          <w:tcPr>
            <w:tcW w:w="1119" w:type="dxa"/>
            <w:vMerge/>
          </w:tcPr>
          <w:p w:rsidR="00FB0D07" w:rsidRPr="000A04CE" w:rsidRDefault="00FB0D07" w:rsidP="00D7608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B0D07" w:rsidRPr="000A04CE" w:rsidRDefault="00FB0D07" w:rsidP="00D760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215" w:type="dxa"/>
            <w:gridSpan w:val="2"/>
          </w:tcPr>
          <w:p w:rsidR="00FB0D07" w:rsidRPr="000A04CE" w:rsidRDefault="00FB0D07" w:rsidP="00D7608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9-14 pts.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shd w:val="clear" w:color="auto" w:fill="auto"/>
          </w:tcPr>
          <w:p w:rsidR="00FB0D07" w:rsidRPr="000A04CE" w:rsidRDefault="00FB0D07" w:rsidP="00D760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shd w:val="clear" w:color="auto" w:fill="auto"/>
          </w:tcPr>
          <w:p w:rsidR="00FB0D07" w:rsidRPr="000A04CE" w:rsidRDefault="00FB0D07" w:rsidP="00D7608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3-4 pts.</w:t>
            </w:r>
          </w:p>
        </w:tc>
        <w:tc>
          <w:tcPr>
            <w:tcW w:w="52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0D07" w:rsidRPr="00D30DD0" w:rsidRDefault="00FB0D07" w:rsidP="00D76085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</w:p>
        </w:tc>
        <w:tc>
          <w:tcPr>
            <w:tcW w:w="3478" w:type="dxa"/>
            <w:gridSpan w:val="11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FB0D07" w:rsidRPr="00D30DD0" w:rsidRDefault="00FB0D07" w:rsidP="00D76085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</w:p>
        </w:tc>
      </w:tr>
      <w:tr w:rsidR="00FB0D07" w:rsidRPr="001F4675" w:rsidTr="00FB0D07">
        <w:trPr>
          <w:jc w:val="center"/>
        </w:trPr>
        <w:tc>
          <w:tcPr>
            <w:tcW w:w="1119" w:type="dxa"/>
            <w:vMerge/>
          </w:tcPr>
          <w:p w:rsidR="00FB0D07" w:rsidRPr="000A04CE" w:rsidRDefault="00FB0D07" w:rsidP="00D76085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15" w:type="dxa"/>
          </w:tcPr>
          <w:p w:rsidR="00FB0D07" w:rsidRPr="000A04CE" w:rsidRDefault="00FB0D07" w:rsidP="00D760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215" w:type="dxa"/>
            <w:gridSpan w:val="2"/>
          </w:tcPr>
          <w:p w:rsidR="00FB0D07" w:rsidRPr="000A04CE" w:rsidRDefault="00FB0D07" w:rsidP="00D7608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6-8 pts.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shd w:val="clear" w:color="auto" w:fill="auto"/>
          </w:tcPr>
          <w:p w:rsidR="00FB0D07" w:rsidRPr="000A04CE" w:rsidRDefault="00FB0D07" w:rsidP="00D760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right w:val="single" w:sz="4" w:space="0" w:color="auto"/>
            </w:tcBorders>
            <w:shd w:val="clear" w:color="auto" w:fill="auto"/>
          </w:tcPr>
          <w:p w:rsidR="00FB0D07" w:rsidRPr="000A04CE" w:rsidRDefault="00FB0D07" w:rsidP="00D7608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 pts.</w:t>
            </w:r>
          </w:p>
        </w:tc>
        <w:tc>
          <w:tcPr>
            <w:tcW w:w="52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0D07" w:rsidRPr="001F4675" w:rsidRDefault="00FB0D07" w:rsidP="00D7608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478" w:type="dxa"/>
            <w:gridSpan w:val="11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FB0D07" w:rsidRPr="001F4675" w:rsidRDefault="00FB0D07" w:rsidP="00D7608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FB0D07" w:rsidRPr="006E6BC8" w:rsidRDefault="00FB0D07" w:rsidP="00FB0D07">
      <w:pPr>
        <w:rPr>
          <w:rFonts w:asciiTheme="majorHAnsi" w:hAnsiTheme="majorHAnsi"/>
        </w:rPr>
      </w:pPr>
    </w:p>
    <w:p w:rsidR="00FB0D07" w:rsidRDefault="00FB0D07" w:rsidP="00FB0D07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>Notes:</w:t>
      </w:r>
    </w:p>
    <w:p w:rsidR="00FB0D07" w:rsidRDefault="00FB0D07" w:rsidP="00FB0D07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Theme="majorHAnsi" w:hAnsiTheme="majorHAnsi"/>
        </w:rPr>
      </w:pPr>
    </w:p>
    <w:p w:rsidR="00FB0D07" w:rsidRDefault="00FB0D07" w:rsidP="00FB0D07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Theme="majorHAnsi" w:hAnsiTheme="majorHAnsi"/>
        </w:rPr>
      </w:pPr>
    </w:p>
    <w:p w:rsidR="00FB0D07" w:rsidRDefault="00FB0D07" w:rsidP="00FB0D07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Theme="majorHAnsi" w:hAnsiTheme="majorHAnsi"/>
        </w:rPr>
      </w:pPr>
    </w:p>
    <w:p w:rsidR="00FB0D07" w:rsidRDefault="00FB0D07" w:rsidP="00FB0D07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Theme="majorHAnsi" w:hAnsiTheme="majorHAnsi"/>
        </w:rPr>
      </w:pPr>
    </w:p>
    <w:p w:rsidR="00FB0D07" w:rsidRPr="00FB0D07" w:rsidRDefault="00FB0D07" w:rsidP="00FB0D07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Theme="majorHAnsi" w:hAnsiTheme="majorHAnsi"/>
        </w:rPr>
      </w:pPr>
    </w:p>
    <w:p w:rsidR="00FB0D07" w:rsidRDefault="00FB0D07" w:rsidP="00FB0D07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lastRenderedPageBreak/>
        <w:t>Fifth Grade Module 2: End-of</w:t>
      </w:r>
      <w:r w:rsidRPr="00D02F79">
        <w:rPr>
          <w:rFonts w:asciiTheme="majorHAnsi" w:hAnsiTheme="majorHAnsi"/>
          <w:b/>
          <w:sz w:val="32"/>
          <w:szCs w:val="32"/>
        </w:rPr>
        <w:t>-Module Assessment Task Score Sheet</w:t>
      </w:r>
    </w:p>
    <w:p w:rsidR="00FB0D07" w:rsidRDefault="00FB0D07" w:rsidP="00FB0D07"/>
    <w:tbl>
      <w:tblPr>
        <w:tblStyle w:val="TableGrid"/>
        <w:tblW w:w="4833" w:type="pct"/>
        <w:tblInd w:w="1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FB0D07" w:rsidRPr="00BB78BF" w:rsidTr="00D76085">
        <w:tc>
          <w:tcPr>
            <w:tcW w:w="5000" w:type="pct"/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:rsidR="00FB0D07" w:rsidRPr="00BB78BF" w:rsidRDefault="00FB0D07" w:rsidP="00D76085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 w:rsidRPr="00BB78BF">
              <w:rPr>
                <w:color w:val="auto"/>
                <w:sz w:val="24"/>
                <w:szCs w:val="24"/>
              </w:rPr>
              <w:t>End-of-Module Assessment Task (Topics A–H)</w:t>
            </w:r>
          </w:p>
          <w:p w:rsidR="00FB0D07" w:rsidRPr="00BB78BF" w:rsidRDefault="00FB0D07" w:rsidP="00D76085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 w:rsidRPr="00BB78BF">
              <w:rPr>
                <w:color w:val="auto"/>
                <w:sz w:val="24"/>
                <w:szCs w:val="24"/>
              </w:rPr>
              <w:t>Clusters and Standards Addressed</w:t>
            </w:r>
          </w:p>
        </w:tc>
      </w:tr>
      <w:tr w:rsidR="00FB0D07" w:rsidRPr="00BB78BF" w:rsidTr="00D76085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:rsidR="00FB0D07" w:rsidRPr="00BB78BF" w:rsidRDefault="00FB0D07" w:rsidP="00D76085">
            <w:pPr>
              <w:spacing w:before="240" w:after="180" w:line="300" w:lineRule="exact"/>
              <w:rPr>
                <w:rFonts w:ascii="Calibri" w:eastAsia="Myriad Pro" w:hAnsi="Calibri" w:cs="Myriad Pro"/>
                <w:b/>
                <w:bCs/>
                <w:spacing w:val="-2"/>
              </w:rPr>
            </w:pPr>
            <w:r w:rsidRPr="00BB78BF">
              <w:rPr>
                <w:rFonts w:ascii="Calibri" w:eastAsia="Myriad Pro" w:hAnsi="Calibri" w:cs="Myriad Pro"/>
                <w:b/>
                <w:bCs/>
                <w:spacing w:val="-2"/>
              </w:rPr>
              <w:t>Write and interpret numerical expressions.</w:t>
            </w:r>
          </w:p>
          <w:p w:rsidR="00FB0D07" w:rsidRPr="00BB78BF" w:rsidRDefault="00FB0D07" w:rsidP="00D76085">
            <w:pPr>
              <w:pStyle w:val="ny-list-focusstandards"/>
              <w:rPr>
                <w:color w:val="auto"/>
              </w:rPr>
            </w:pPr>
            <w:r w:rsidRPr="00BB78BF">
              <w:rPr>
                <w:b/>
                <w:color w:val="auto"/>
              </w:rPr>
              <w:t xml:space="preserve">5.OA.1       </w:t>
            </w:r>
            <w:r w:rsidRPr="00BB78BF">
              <w:rPr>
                <w:color w:val="auto"/>
              </w:rPr>
              <w:t>Use parentheses, brackets, or braces in numerical expressions, and evaluate expressions with these symbols.</w:t>
            </w:r>
          </w:p>
          <w:p w:rsidR="00FB0D07" w:rsidRPr="00BB78BF" w:rsidRDefault="00FB0D07" w:rsidP="00D76085">
            <w:pPr>
              <w:pStyle w:val="ny-list-focusstandards"/>
              <w:rPr>
                <w:color w:val="auto"/>
              </w:rPr>
            </w:pPr>
            <w:r w:rsidRPr="00BB78BF">
              <w:rPr>
                <w:b/>
                <w:color w:val="auto"/>
              </w:rPr>
              <w:t xml:space="preserve">5.OA.2 </w:t>
            </w:r>
            <w:r w:rsidRPr="00BB78BF">
              <w:rPr>
                <w:b/>
                <w:color w:val="auto"/>
              </w:rPr>
              <w:tab/>
            </w:r>
            <w:r w:rsidRPr="00BB78BF">
              <w:rPr>
                <w:color w:val="auto"/>
              </w:rPr>
              <w:t xml:space="preserve">Write simple expressions that record calculations with numbers, and interpret numerical expressions without evaluating them. </w:t>
            </w:r>
            <w:r w:rsidRPr="00BB78BF">
              <w:rPr>
                <w:i/>
                <w:color w:val="auto"/>
              </w:rPr>
              <w:t>For example, express the calculation “add 8 and 7, then multiply by 2” as 2 × (8 + 7). Recognize that 3 × (18932 + 921) is three times as large as 18932 + 921, without having to calculate the indicated sum or product.</w:t>
            </w:r>
          </w:p>
          <w:p w:rsidR="00FB0D07" w:rsidRPr="00BB78BF" w:rsidRDefault="00FB0D07" w:rsidP="00D76085">
            <w:pPr>
              <w:spacing w:after="40" w:line="260" w:lineRule="exact"/>
              <w:ind w:left="1055" w:hanging="1055"/>
              <w:rPr>
                <w:rFonts w:ascii="Calibri" w:eastAsia="Myriad Pro" w:hAnsi="Calibri" w:cs="Myriad Pro"/>
                <w:b/>
                <w:bCs/>
                <w:szCs w:val="20"/>
              </w:rPr>
            </w:pPr>
            <w:r w:rsidRPr="00BB78BF">
              <w:rPr>
                <w:rFonts w:ascii="Calibri" w:eastAsia="Myriad Pro" w:hAnsi="Calibri" w:cs="Myriad Pro"/>
                <w:b/>
                <w:bCs/>
                <w:szCs w:val="20"/>
              </w:rPr>
              <w:t>Understand the place value system.</w:t>
            </w:r>
          </w:p>
          <w:p w:rsidR="00FB0D07" w:rsidRPr="00BB78BF" w:rsidRDefault="00FB0D07" w:rsidP="00D76085">
            <w:pPr>
              <w:pStyle w:val="ny-list-focusstandards"/>
              <w:rPr>
                <w:color w:val="auto"/>
              </w:rPr>
            </w:pPr>
            <w:r w:rsidRPr="00BB78BF">
              <w:rPr>
                <w:b/>
                <w:color w:val="auto"/>
              </w:rPr>
              <w:t xml:space="preserve">5.NBT.1 </w:t>
            </w:r>
            <w:r w:rsidRPr="00BB78BF">
              <w:rPr>
                <w:b/>
                <w:color w:val="auto"/>
              </w:rPr>
              <w:tab/>
            </w:r>
            <w:r w:rsidRPr="00BB78BF">
              <w:rPr>
                <w:color w:val="auto"/>
              </w:rPr>
              <w:t>Recognize that in a multi-digit number, a digit in one place represents 10 times as much as it represents in the place to its right and 1/10 of what it represents in the place to its left.</w:t>
            </w:r>
          </w:p>
          <w:p w:rsidR="00FB0D07" w:rsidRPr="00BB78BF" w:rsidRDefault="00FB0D07" w:rsidP="00D76085">
            <w:pPr>
              <w:pStyle w:val="ny-list-focusstandards"/>
              <w:rPr>
                <w:color w:val="auto"/>
              </w:rPr>
            </w:pPr>
            <w:r w:rsidRPr="00BB78BF">
              <w:rPr>
                <w:b/>
                <w:color w:val="auto"/>
              </w:rPr>
              <w:t>5.NBT.2</w:t>
            </w:r>
            <w:r w:rsidRPr="00BB78BF">
              <w:rPr>
                <w:b/>
                <w:color w:val="auto"/>
              </w:rPr>
              <w:tab/>
            </w:r>
            <w:r w:rsidRPr="00BB78BF">
              <w:rPr>
                <w:color w:val="auto"/>
              </w:rPr>
              <w:t>Explain patterns in the number of zeros of the product when multiplying a number by powers of 10, and explain patterns in the placement of the decimal point when a decimal is multiplied or divided by a power of 10. Use whole-number exponents to denote powers of 10.</w:t>
            </w:r>
          </w:p>
          <w:p w:rsidR="00FB0D07" w:rsidRPr="00BB78BF" w:rsidRDefault="00FB0D07" w:rsidP="00D76085">
            <w:pPr>
              <w:spacing w:before="120" w:after="120" w:line="260" w:lineRule="exact"/>
              <w:rPr>
                <w:rFonts w:ascii="Calibri" w:eastAsia="Myriad Pro" w:hAnsi="Calibri" w:cs="Myriad Pro"/>
                <w:b/>
                <w:bCs/>
              </w:rPr>
            </w:pPr>
            <w:r w:rsidRPr="00BB78BF">
              <w:rPr>
                <w:rFonts w:ascii="Calibri" w:eastAsia="Myriad Pro" w:hAnsi="Calibri" w:cs="Myriad Pro"/>
                <w:b/>
                <w:bCs/>
              </w:rPr>
              <w:t>Perform operations with multi-digit whole numbers and with decimals to hundredths.</w:t>
            </w:r>
          </w:p>
          <w:p w:rsidR="00FB0D07" w:rsidRPr="00BB78BF" w:rsidRDefault="00FB0D07" w:rsidP="00D76085">
            <w:pPr>
              <w:pStyle w:val="ny-list-focusstandards"/>
              <w:rPr>
                <w:b/>
                <w:bCs/>
                <w:color w:val="auto"/>
              </w:rPr>
            </w:pPr>
            <w:r w:rsidRPr="00BB78BF">
              <w:rPr>
                <w:b/>
                <w:color w:val="auto"/>
              </w:rPr>
              <w:t xml:space="preserve">5.NBT.5   </w:t>
            </w:r>
            <w:r w:rsidRPr="00BB78BF">
              <w:rPr>
                <w:b/>
                <w:color w:val="auto"/>
              </w:rPr>
              <w:tab/>
            </w:r>
            <w:r w:rsidRPr="00BB78BF">
              <w:rPr>
                <w:color w:val="auto"/>
              </w:rPr>
              <w:t>Fluently multiply multi-digit whole numbers using the standard algorithm.</w:t>
            </w:r>
          </w:p>
          <w:p w:rsidR="00FB0D07" w:rsidRPr="00BB78BF" w:rsidRDefault="00FB0D07" w:rsidP="00D76085">
            <w:pPr>
              <w:pStyle w:val="ny-list-focusstandards"/>
              <w:rPr>
                <w:color w:val="auto"/>
              </w:rPr>
            </w:pPr>
            <w:r w:rsidRPr="00BB78BF">
              <w:rPr>
                <w:b/>
                <w:color w:val="auto"/>
              </w:rPr>
              <w:t xml:space="preserve">5.NBT.6    </w:t>
            </w:r>
            <w:r w:rsidRPr="00BB78BF">
              <w:rPr>
                <w:b/>
                <w:color w:val="auto"/>
              </w:rPr>
              <w:tab/>
            </w:r>
            <w:r w:rsidRPr="00BB78BF">
              <w:rPr>
                <w:color w:val="auto"/>
              </w:rPr>
              <w:t>Find whole-number quotients of whole numbers with up to four-digit dividends and two-digit divisors, using strategies based on place value, the properties of operations, and/or the relationship between multiplication and division. Illustrate and explain the calculation by using equations, rectangular arrays, and/or area models.</w:t>
            </w:r>
          </w:p>
          <w:p w:rsidR="00FB0D07" w:rsidRPr="00BB78BF" w:rsidRDefault="00FB0D07" w:rsidP="00D76085">
            <w:pPr>
              <w:pStyle w:val="ny-list-focusstandards"/>
              <w:rPr>
                <w:color w:val="auto"/>
              </w:rPr>
            </w:pPr>
            <w:r w:rsidRPr="00BB78BF">
              <w:rPr>
                <w:b/>
                <w:color w:val="auto"/>
              </w:rPr>
              <w:t>5.NBT.7</w:t>
            </w:r>
            <w:r w:rsidRPr="00BB78BF">
              <w:rPr>
                <w:b/>
                <w:color w:val="auto"/>
              </w:rPr>
              <w:tab/>
            </w:r>
            <w:r w:rsidRPr="00BB78BF">
              <w:rPr>
                <w:color w:val="auto"/>
              </w:rPr>
              <w:t>Add, subtract, multiply, and divide decimals to hundredths, using concrete models or drawings and strategies based on place value, properties of operations, and/or the relationship between addition and subtraction; relate the strategy to a written method and explain the reasoning used.</w:t>
            </w:r>
          </w:p>
          <w:p w:rsidR="00FB0D07" w:rsidRPr="00BB78BF" w:rsidRDefault="00FB0D07" w:rsidP="00D76085">
            <w:pPr>
              <w:spacing w:before="120" w:after="120" w:line="260" w:lineRule="exact"/>
              <w:rPr>
                <w:rFonts w:ascii="Calibri" w:eastAsia="Myriad Pro" w:hAnsi="Calibri" w:cs="Myriad Pro"/>
                <w:b/>
                <w:bCs/>
              </w:rPr>
            </w:pPr>
            <w:r w:rsidRPr="00BB78BF">
              <w:rPr>
                <w:rFonts w:ascii="Calibri" w:eastAsia="Myriad Pro" w:hAnsi="Calibri" w:cs="Myriad Pro"/>
                <w:b/>
                <w:bCs/>
              </w:rPr>
              <w:t>Convert like measurement units within a given measurement system.</w:t>
            </w:r>
          </w:p>
          <w:p w:rsidR="00FB0D07" w:rsidRPr="00BB78BF" w:rsidRDefault="00FB0D07" w:rsidP="00D76085">
            <w:pPr>
              <w:pStyle w:val="ny-list-focusstandards"/>
              <w:rPr>
                <w:color w:val="auto"/>
              </w:rPr>
            </w:pPr>
            <w:r w:rsidRPr="00BB78BF">
              <w:rPr>
                <w:rStyle w:val="ny-bold-red"/>
                <w:color w:val="auto"/>
              </w:rPr>
              <w:t>5.MD.1</w:t>
            </w:r>
            <w:r w:rsidRPr="00BB78BF">
              <w:rPr>
                <w:rStyle w:val="ny-bold-red"/>
                <w:color w:val="auto"/>
              </w:rPr>
              <w:tab/>
            </w:r>
            <w:r w:rsidRPr="00BB78BF">
              <w:rPr>
                <w:color w:val="auto"/>
              </w:rPr>
              <w:t xml:space="preserve">Convert among different-sized standard measurement units within a given measurement </w:t>
            </w:r>
            <w:r w:rsidRPr="00BB78BF">
              <w:rPr>
                <w:color w:val="auto"/>
              </w:rPr>
              <w:tab/>
              <w:t xml:space="preserve">system (e.g., convert 5 cm to 0.05 m), and use these conversions in solving multi-step, </w:t>
            </w:r>
            <w:r w:rsidRPr="00BB78BF">
              <w:rPr>
                <w:color w:val="auto"/>
              </w:rPr>
              <w:tab/>
              <w:t xml:space="preserve">real world problems. </w:t>
            </w:r>
          </w:p>
        </w:tc>
      </w:tr>
    </w:tbl>
    <w:p w:rsidR="00FB0D07" w:rsidRPr="000D3BC5" w:rsidRDefault="00FB0D07" w:rsidP="00FB0D07"/>
    <w:p w:rsidR="00FB0D07" w:rsidRPr="000D3BC5" w:rsidRDefault="00FB0D07" w:rsidP="00FB0D07"/>
    <w:p w:rsidR="006F3C53" w:rsidRDefault="006F3C53"/>
    <w:sectPr w:rsidR="006F3C53" w:rsidSect="005F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D07"/>
    <w:rsid w:val="005F69A5"/>
    <w:rsid w:val="006F3C53"/>
    <w:rsid w:val="007D5164"/>
    <w:rsid w:val="00FB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BE4C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D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FB0D07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FB0D07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qFormat/>
    <w:rsid w:val="00FB0D07"/>
    <w:rPr>
      <w:b/>
      <w:color w:val="7F0B47"/>
    </w:rPr>
  </w:style>
  <w:style w:type="paragraph" w:customStyle="1" w:styleId="ny-h4">
    <w:name w:val="ny-h4"/>
    <w:basedOn w:val="Normal"/>
    <w:qFormat/>
    <w:rsid w:val="00FB0D07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">
    <w:name w:val="ny-list-focus standards"/>
    <w:basedOn w:val="Normal"/>
    <w:qFormat/>
    <w:rsid w:val="00FB0D07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D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FB0D07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FB0D07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red">
    <w:name w:val="ny-bold-red"/>
    <w:basedOn w:val="DefaultParagraphFont"/>
    <w:uiPriority w:val="1"/>
    <w:qFormat/>
    <w:rsid w:val="00FB0D07"/>
    <w:rPr>
      <w:b/>
      <w:color w:val="7F0B47"/>
    </w:rPr>
  </w:style>
  <w:style w:type="paragraph" w:customStyle="1" w:styleId="ny-h4">
    <w:name w:val="ny-h4"/>
    <w:basedOn w:val="Normal"/>
    <w:qFormat/>
    <w:rsid w:val="00FB0D07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">
    <w:name w:val="ny-list-focus standards"/>
    <w:basedOn w:val="Normal"/>
    <w:qFormat/>
    <w:rsid w:val="00FB0D07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580</Words>
  <Characters>3311</Characters>
  <Application>Microsoft Macintosh Word</Application>
  <DocSecurity>0</DocSecurity>
  <Lines>27</Lines>
  <Paragraphs>7</Paragraphs>
  <ScaleCrop>false</ScaleCrop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1</cp:revision>
  <dcterms:created xsi:type="dcterms:W3CDTF">2015-09-28T23:07:00Z</dcterms:created>
  <dcterms:modified xsi:type="dcterms:W3CDTF">2015-09-28T23:08:00Z</dcterms:modified>
</cp:coreProperties>
</file>